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7"/>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凳寨完全小学</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黑体" w:hAnsi="黑体" w:eastAsia="黑体" w:cs="黑体"/>
          <w:b w:val="0"/>
          <w:bCs/>
          <w:sz w:val="32"/>
          <w:szCs w:val="32"/>
        </w:rPr>
        <w:t>年度预算绩效情况的说明</w:t>
      </w:r>
    </w:p>
    <w:p w14:paraId="257D9EB6"/>
    <w:p w14:paraId="2BE10005">
      <w:pPr>
        <w:overflowPunct w:val="0"/>
        <w:spacing w:line="600" w:lineRule="exact"/>
        <w:ind w:firstLine="643" w:firstLineChars="200"/>
        <w:rPr>
          <w:rFonts w:ascii="Times New Roman" w:hAnsi="Times New Roman" w:eastAsia="楷体" w:cs="Times New Roman"/>
          <w:b/>
          <w:bCs/>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w:t>
      </w:r>
      <w:r>
        <w:rPr>
          <w:rFonts w:hint="eastAsia" w:ascii="Times New Roman" w:hAnsi="Times New Roman" w:eastAsia="仿宋_GB2312" w:cs="Times New Roman"/>
          <w:kern w:val="0"/>
          <w:sz w:val="32"/>
          <w:szCs w:val="32"/>
          <w:lang w:val="en-US" w:eastAsia="zh-CN"/>
        </w:rPr>
        <w:t>单位</w:t>
      </w:r>
      <w:r>
        <w:rPr>
          <w:rFonts w:ascii="Times New Roman" w:hAnsi="Times New Roman" w:eastAsia="仿宋_GB2312" w:cs="Times New Roman"/>
          <w:kern w:val="0"/>
          <w:sz w:val="32"/>
          <w:szCs w:val="32"/>
        </w:rPr>
        <w:t>整体支出开展绩效自评，涉及项目</w:t>
      </w:r>
      <w:r>
        <w:rPr>
          <w:rFonts w:hint="eastAsia" w:ascii="Times New Roman" w:hAnsi="Times New Roman" w:eastAsia="仿宋_GB2312" w:cs="Times New Roman"/>
          <w:kern w:val="0"/>
          <w:sz w:val="32"/>
          <w:szCs w:val="32"/>
          <w:lang w:val="en-US" w:eastAsia="zh-CN"/>
        </w:rPr>
        <w:t>5</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82.83</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5</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82.83</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万元，占社会保险基金预算支出总额的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b/>
          <w:bCs/>
          <w:kern w:val="0"/>
          <w:sz w:val="32"/>
          <w:szCs w:val="32"/>
        </w:rPr>
        <w:t>二是部门评价开展情况。</w:t>
      </w:r>
      <w:r>
        <w:rPr>
          <w:rFonts w:ascii="Times New Roman" w:hAnsi="Times New Roman" w:eastAsia="仿宋_GB2312" w:cs="Times New Roman"/>
          <w:kern w:val="0"/>
          <w:sz w:val="32"/>
          <w:szCs w:val="32"/>
        </w:rPr>
        <w:t>组织对所属单位2024年度“</w:t>
      </w:r>
      <w:r>
        <w:rPr>
          <w:rFonts w:hint="eastAsia" w:ascii="Times New Roman" w:hAnsi="Times New Roman" w:eastAsia="仿宋_GB2312" w:cs="Times New Roman"/>
          <w:sz w:val="32"/>
          <w:szCs w:val="32"/>
          <w:lang w:val="en-US" w:eastAsia="zh-CN"/>
        </w:rPr>
        <w:t>义务教育生均公用经费</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val="en-US" w:eastAsia="zh-CN"/>
        </w:rPr>
        <w:t>其他人员经费</w:t>
      </w:r>
      <w:r>
        <w:rPr>
          <w:rFonts w:ascii="Times New Roman" w:hAnsi="Times New Roman" w:eastAsia="仿宋_GB2312" w:cs="Times New Roman"/>
          <w:kern w:val="0"/>
          <w:sz w:val="32"/>
          <w:szCs w:val="32"/>
        </w:rPr>
        <w:t>”等</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kern w:val="0"/>
          <w:sz w:val="32"/>
          <w:szCs w:val="32"/>
          <w:lang w:val="en-US" w:eastAsia="zh-CN"/>
        </w:rPr>
        <w:t>82.83</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r>
        <w:rPr>
          <w:rFonts w:ascii="Times New Roman" w:hAnsi="Times New Roman" w:eastAsia="仿宋_GB2312" w:cs="Times New Roman"/>
          <w:b/>
          <w:bCs/>
          <w:kern w:val="0"/>
          <w:sz w:val="32"/>
          <w:szCs w:val="32"/>
        </w:rPr>
        <w:t>三是事前绩效评估开展情况。</w:t>
      </w:r>
      <w:r>
        <w:rPr>
          <w:rFonts w:ascii="Times New Roman" w:hAnsi="Times New Roman" w:eastAsia="仿宋_GB2312" w:cs="Times New Roman"/>
          <w:kern w:val="0"/>
          <w:sz w:val="32"/>
          <w:szCs w:val="32"/>
        </w:rPr>
        <w:t>组织对2024年度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个新增重大政策和</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个重大项目开展事前绩效评估，共涉及资金</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p>
    <w:p w14:paraId="5CF2D214">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val="en-US" w:eastAsia="zh-CN"/>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361.54</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494.32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136.73</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97</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”。绩效目标完成情况：一是</w:t>
      </w:r>
      <w:r>
        <w:rPr>
          <w:rFonts w:hint="eastAsia" w:ascii="仿宋" w:hAnsi="仿宋" w:eastAsia="仿宋" w:cs="仿宋"/>
          <w:b w:val="0"/>
          <w:bCs w:val="0"/>
          <w:sz w:val="32"/>
          <w:szCs w:val="32"/>
          <w:lang w:val="en-US" w:eastAsia="zh-CN"/>
        </w:rPr>
        <w:t>落实党建，助力德育，提高政治素养：1</w:t>
      </w:r>
      <w:r>
        <w:rPr>
          <w:rFonts w:hint="eastAsia" w:ascii="仿宋" w:hAnsi="仿宋" w:eastAsia="仿宋" w:cs="仿宋"/>
          <w:sz w:val="32"/>
          <w:szCs w:val="32"/>
          <w:lang w:val="en-US" w:eastAsia="zh-CN"/>
        </w:rPr>
        <w:t>.集中学习，提升师德。春季及秋季的开学初，学校党支部组织全体教师的集中学习党的“二十大”精神，学习习近平系列讲话内容及教育家精神。参照教育局的规定动作，集中学习《中小学教师职业道德》、《教师法》、《未成年人保护法》、《义务教育法》及“议案促改”的相关内容，下半年还学习了“二十大三中全会”精神，通过学习，有效地提高了教师的政治修养及师德水平。本年度积极向党组织递交入党申请书的有2人。2.党建引领，助力德育。落实党领导下的校长负责制，实施党政联席议会制度，实施“三重一大”，清廉治校，党员同志主动上党课，模范服务师生。比如衔接校园文化墙，落实德育教育阵地；二是暑期汛情期间，党员同志积极响应县委县政府的号召，立即返岗，防汛排险，协助镇村领导转移、安置灾区群众，同时主动谋划危房的拆除及危墙的拆建；三是细节服务师生，比如姚鹏老师寒来暑往，来回奔波在学校与县城的路上，主动为学校寻求赞助（心理健康室创建方面约9万元；校服、免午基金、与胡总协调等），主动为学校宣传报道等；吴晶主席主动协调幼儿园及工会工作；党员同志积极协助后勤，比如维修水源、维修电路、搬柴火、划跑到、搬书籍、剪树枝等。学校的维修维护，在烈日下、在深山中、在寒风里、在雪路上、在冰封中，我们身体力行，勤勉务实的工作作风是德育引领的基础。通过细微处入手，提升德育育人氛围；</w:t>
      </w:r>
      <w:r>
        <w:rPr>
          <w:rFonts w:ascii="Times New Roman" w:hAnsi="Times New Roman" w:eastAsia="仿宋_GB2312" w:cs="Times New Roman"/>
          <w:sz w:val="32"/>
          <w:szCs w:val="32"/>
        </w:rPr>
        <w:t>二是</w:t>
      </w:r>
      <w:r>
        <w:rPr>
          <w:rFonts w:hint="eastAsia" w:ascii="仿宋" w:hAnsi="仿宋" w:eastAsia="仿宋" w:cs="仿宋"/>
          <w:b w:val="0"/>
          <w:bCs w:val="0"/>
          <w:sz w:val="32"/>
          <w:szCs w:val="32"/>
          <w:lang w:val="en-US" w:eastAsia="zh-CN"/>
        </w:rPr>
        <w:t>教学及科研工作，</w:t>
      </w:r>
      <w:r>
        <w:rPr>
          <w:rFonts w:hint="eastAsia" w:ascii="仿宋" w:hAnsi="仿宋" w:eastAsia="仿宋" w:cs="仿宋"/>
          <w:sz w:val="32"/>
          <w:szCs w:val="32"/>
          <w:lang w:val="en-US" w:eastAsia="zh-CN"/>
        </w:rPr>
        <w:t>教学工作是学校的中心工作，教学质量是学校工作的生命线：1、首先从常规教学抓起。坚持提前一周备课，规范教案，定期抽查，要求教师对学生作业全批全改，月一检查一公布，对不认真负责的教师在全体教师会上通报批评。每次考试，实行交叉监考，严肃考风考纪，促进良好学风的形成。2.围绕课堂深化教研，依托教研优化课堂。结合学校实际，加强校本校验。青蓝工程的结对课，高级教师与优秀教师的示范课，其余教师上公开课。全校教师每期进行的教学比武课，活动组织形式多样，按照计划，语文组、数学组有序的进行。促进青年教师尽快熟悉课堂，站稳课堂。积极参与教学比武活动，其中吴晶主席片区出线，执教的《健康活动》获得县级二等奖；杨学灿校长执教的《电和磁》获得县级一等奖；我执教的《植树问题》获得县级一等奖。3.以课题研究为主导，加强教师成长的引领。为提升教研教改理论修养，拓宽教师教学视野，每次例会进行教师业务培训或者阅读分享活动。同时推行走出去，请进来的方法，加强业务学习和经验交流。凡是教育局有安排的我们教科室基本不打折扣的给予安排，另外我们学校到思源跟岗学习的老师有杨欣楠、杨国清；到一完小跟岗学习的有彭春颖；到三完小跟岗学习的有孙名阳等。邀请到我们学校的专家及老师有教研室的尹丽、吴金香、姚为民、向智萍老师；一完小的杨芳玲校长、吴先艳老师，感谢他们的到来。4.身体力行，彰显担当。学校全体行政人员政治上严格要求自己，教育教学工作，没有旁观者，皆是参与者。没有人指手画脚，只有模范带头。于无形之中见有形。比如余益民主任任教三年级科学获得全县第五名等。5.老师们的勤勉付出是关键。五六年级的老师们从早上七点半到晚上的十点半，远远超出常人的工作量，孩子们的每一点进步、每一点成绩的取得都凝结着老师辛勤付出的汗水。毕业的六年级由26名到第20名，优生六年级标准2人进步到3人；现六年级保持在第15名，优生标准12进步到13人；现五年级优生标准8人进步到9人；我们获得了学年度的教育教学“先进单位”和“进步单位”；获得教师朗诵比赛“二等奖”；学生朗诵比赛获得“三等奖”县运动获得“体育道德风尚奖”；在绘画、舞蹈、独唱、体育等方面也有所进步。各种成绩的取得是全体凳小人齐心协力、负重奋进、辛勤工作、努力拼搏的结果。</w:t>
      </w:r>
    </w:p>
    <w:p w14:paraId="482EC56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Times New Roman" w:hAnsi="Times New Roman" w:eastAsia="仿宋_GB2312" w:cs="Times New Roman"/>
          <w:bCs/>
          <w:sz w:val="32"/>
          <w:szCs w:val="32"/>
        </w:rPr>
      </w:pPr>
      <w:r>
        <w:rPr>
          <w:rFonts w:ascii="Times New Roman" w:hAnsi="Times New Roman" w:eastAsia="仿宋_GB2312" w:cs="Times New Roman"/>
          <w:sz w:val="32"/>
          <w:szCs w:val="32"/>
        </w:rPr>
        <w:t>发现的主要问题及原因：一是</w:t>
      </w:r>
      <w:r>
        <w:rPr>
          <w:rFonts w:hint="eastAsia" w:ascii="仿宋" w:hAnsi="仿宋" w:eastAsia="仿宋" w:cs="仿宋"/>
          <w:b w:val="0"/>
          <w:bCs w:val="0"/>
          <w:sz w:val="32"/>
          <w:szCs w:val="32"/>
          <w:lang w:val="en-US" w:eastAsia="zh-CN"/>
        </w:rPr>
        <w:t>工作开拓意识不够，不敢放手大胆工作，工作水平有待进一步提高</w:t>
      </w:r>
      <w:r>
        <w:rPr>
          <w:rFonts w:ascii="Times New Roman" w:hAnsi="Times New Roman" w:eastAsia="仿宋_GB2312" w:cs="Times New Roman"/>
          <w:sz w:val="32"/>
          <w:szCs w:val="32"/>
        </w:rPr>
        <w:t>；二是</w:t>
      </w:r>
      <w:r>
        <w:rPr>
          <w:rFonts w:hint="eastAsia" w:ascii="仿宋" w:hAnsi="仿宋" w:eastAsia="仿宋" w:cs="仿宋"/>
          <w:b w:val="0"/>
          <w:bCs w:val="0"/>
          <w:sz w:val="32"/>
          <w:szCs w:val="32"/>
          <w:lang w:val="en-US" w:eastAsia="zh-CN"/>
        </w:rPr>
        <w:t>看问题站的角度不高，视野不开阔。对学校发展缺少远景规划；对教师教学指导不够深入，理论水平有待提高</w:t>
      </w:r>
      <w:r>
        <w:rPr>
          <w:rFonts w:ascii="Times New Roman" w:hAnsi="Times New Roman" w:eastAsia="仿宋_GB2312" w:cs="Times New Roman"/>
          <w:sz w:val="32"/>
          <w:szCs w:val="32"/>
        </w:rPr>
        <w:t>。下一步改进措施：一是</w:t>
      </w:r>
      <w:r>
        <w:rPr>
          <w:rFonts w:hint="eastAsia" w:ascii="仿宋" w:hAnsi="仿宋" w:eastAsia="仿宋" w:cs="仿宋"/>
          <w:sz w:val="32"/>
          <w:szCs w:val="32"/>
          <w:lang w:val="en-US" w:eastAsia="zh-CN"/>
        </w:rPr>
        <w:t>进一步加强师德建设，突出全员育人观念，充分发挥全体教师的育人作用，真正做到服务育人，教书育人的全方位育人观</w:t>
      </w:r>
      <w:r>
        <w:rPr>
          <w:rFonts w:ascii="Times New Roman" w:hAnsi="Times New Roman" w:eastAsia="仿宋_GB2312" w:cs="Times New Roman"/>
          <w:sz w:val="32"/>
          <w:szCs w:val="32"/>
        </w:rPr>
        <w:t>；二是</w:t>
      </w:r>
      <w:r>
        <w:rPr>
          <w:rFonts w:hint="eastAsia" w:ascii="仿宋" w:hAnsi="仿宋" w:eastAsia="仿宋" w:cs="仿宋"/>
          <w:sz w:val="32"/>
          <w:szCs w:val="32"/>
          <w:lang w:val="en-US" w:eastAsia="zh-CN"/>
        </w:rPr>
        <w:t>加强德育科研，探讨新形势下德育工作的针对性、时效性、实效性。加强德育课题研究工作，进一步提升教育管理水平，把研究成果及时应用到学校教育工作中去</w:t>
      </w:r>
      <w:r>
        <w:rPr>
          <w:rFonts w:ascii="Times New Roman" w:hAnsi="Times New Roman" w:eastAsia="仿宋_GB2312" w:cs="Times New Roman"/>
          <w:sz w:val="32"/>
          <w:szCs w:val="32"/>
        </w:rPr>
        <w:t>。</w:t>
      </w:r>
      <w:r>
        <w:rPr>
          <w:rFonts w:ascii="Times New Roman" w:hAnsi="Times New Roman" w:eastAsia="仿宋_GB2312" w:cs="Times New Roman"/>
          <w:b/>
          <w:bCs/>
          <w:kern w:val="0"/>
          <w:sz w:val="32"/>
          <w:szCs w:val="32"/>
        </w:rPr>
        <w:t>二是部门评价结果。</w:t>
      </w:r>
      <w:r>
        <w:rPr>
          <w:rFonts w:hint="eastAsia" w:ascii="Times New Roman" w:hAnsi="Times New Roman" w:eastAsia="仿宋_GB2312" w:cs="Times New Roman"/>
          <w:sz w:val="32"/>
          <w:szCs w:val="32"/>
          <w:lang w:val="en-US" w:eastAsia="zh-CN"/>
        </w:rPr>
        <w:t>4个</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kern w:val="0"/>
          <w:sz w:val="32"/>
          <w:szCs w:val="32"/>
          <w:lang w:val="en-US" w:eastAsia="zh-CN"/>
        </w:rPr>
        <w:t>82.83</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79.51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95.99</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96</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”。发现的主要问题及原因：一是</w:t>
      </w:r>
      <w:r>
        <w:rPr>
          <w:rFonts w:hint="eastAsia" w:ascii="仿宋" w:hAnsi="仿宋" w:eastAsia="仿宋" w:cs="仿宋"/>
          <w:sz w:val="32"/>
          <w:szCs w:val="32"/>
          <w:lang w:val="en-US" w:eastAsia="zh-CN"/>
        </w:rPr>
        <w:t>需更加注重学生的心理健康教育，促进学生身心全面和谐健康</w:t>
      </w:r>
      <w:bookmarkStart w:id="0" w:name="_GoBack"/>
      <w:bookmarkEnd w:id="0"/>
      <w:r>
        <w:rPr>
          <w:rFonts w:hint="eastAsia" w:ascii="仿宋" w:hAnsi="仿宋" w:eastAsia="仿宋" w:cs="仿宋"/>
          <w:sz w:val="32"/>
          <w:szCs w:val="32"/>
          <w:lang w:val="en-US" w:eastAsia="zh-CN"/>
        </w:rPr>
        <w:t>的发展。教师重视留守儿童成长程度有待提高</w:t>
      </w:r>
      <w:r>
        <w:rPr>
          <w:rFonts w:ascii="Times New Roman" w:hAnsi="Times New Roman" w:eastAsia="仿宋_GB2312" w:cs="Times New Roman"/>
          <w:sz w:val="32"/>
          <w:szCs w:val="32"/>
        </w:rPr>
        <w:t>；二是</w:t>
      </w:r>
      <w:r>
        <w:rPr>
          <w:rFonts w:hint="eastAsia" w:ascii="仿宋" w:hAnsi="仿宋" w:eastAsia="仿宋" w:cs="仿宋"/>
          <w:sz w:val="32"/>
          <w:szCs w:val="32"/>
          <w:lang w:val="en-US" w:eastAsia="zh-CN"/>
        </w:rPr>
        <w:t>需更加注重学生的心理健康教育，促进学生身心全面和谐健康的发展。教师重视留守儿童成长程度有待提高</w:t>
      </w:r>
      <w:r>
        <w:rPr>
          <w:rFonts w:ascii="Times New Roman" w:hAnsi="Times New Roman" w:eastAsia="仿宋_GB2312" w:cs="Times New Roman"/>
          <w:sz w:val="32"/>
          <w:szCs w:val="32"/>
        </w:rPr>
        <w:t>。下一步改进措施：一是</w:t>
      </w:r>
      <w:r>
        <w:rPr>
          <w:rFonts w:hint="eastAsia" w:ascii="仿宋" w:hAnsi="仿宋" w:eastAsia="仿宋" w:cs="仿宋"/>
          <w:b w:val="0"/>
          <w:bCs w:val="0"/>
          <w:sz w:val="32"/>
          <w:szCs w:val="32"/>
          <w:lang w:val="en-US" w:eastAsia="zh-CN"/>
        </w:rPr>
        <w:t>继续为学校发展出谋划策，姚鹏老师主动协调免费午餐公益项目约捐赠九万元的心理健康项目基金；与中国福利基金协调近十万元的暖流教师建设项目</w:t>
      </w:r>
      <w:r>
        <w:rPr>
          <w:rFonts w:ascii="Times New Roman" w:hAnsi="Times New Roman" w:eastAsia="仿宋_GB2312" w:cs="Times New Roman"/>
          <w:sz w:val="32"/>
          <w:szCs w:val="32"/>
        </w:rPr>
        <w:t>；二是</w:t>
      </w:r>
      <w:r>
        <w:rPr>
          <w:rFonts w:hint="eastAsia" w:ascii="仿宋" w:hAnsi="仿宋" w:eastAsia="仿宋" w:cs="仿宋"/>
          <w:sz w:val="32"/>
          <w:szCs w:val="32"/>
          <w:lang w:val="en-US" w:eastAsia="zh-CN"/>
        </w:rPr>
        <w:t>进一步加强师德建设，突出全员育人观念，充分发挥全体教师的育人作用，真正做到服务育人，教书育人的全方位育人观。</w:t>
      </w:r>
      <w:r>
        <w:rPr>
          <w:rFonts w:ascii="Times New Roman" w:hAnsi="Times New Roman" w:eastAsia="仿宋_GB2312" w:cs="Times New Roman"/>
          <w:b/>
          <w:bCs/>
          <w:kern w:val="0"/>
          <w:sz w:val="32"/>
          <w:szCs w:val="32"/>
        </w:rPr>
        <w:t>三是事前绩效评估结果。</w:t>
      </w:r>
      <w:r>
        <w:rPr>
          <w:rFonts w:ascii="Times New Roman" w:hAnsi="Times New Roman" w:eastAsia="仿宋_GB2312" w:cs="Times New Roman"/>
          <w:kern w:val="0"/>
          <w:sz w:val="32"/>
          <w:szCs w:val="32"/>
        </w:rPr>
        <w:t>2024年度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个重大项目事前绩效评估，其中，</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个项目评估通过，涉及资金</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个项目评估不通过，涉及资金</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p>
    <w:p w14:paraId="288BED59">
      <w:pPr>
        <w:pStyle w:val="7"/>
        <w:overflowPunct w:val="0"/>
        <w:autoSpaceDE/>
        <w:autoSpaceDN/>
        <w:spacing w:line="600" w:lineRule="exact"/>
        <w:ind w:firstLine="643" w:firstLineChars="200"/>
        <w:jc w:val="both"/>
        <w:rPr>
          <w:rFonts w:ascii="Times New Roman" w:hAnsi="Times New Roman" w:eastAsia="仿宋_GB2312" w:cs="Times New Roman"/>
          <w:color w:val="auto"/>
          <w:kern w:val="2"/>
          <w:sz w:val="32"/>
          <w:szCs w:val="32"/>
          <w:lang w:val="en-US" w:eastAsia="zh-CN" w:bidi="ar-SA"/>
        </w:rPr>
      </w:pPr>
      <w:r>
        <w:rPr>
          <w:rFonts w:ascii="Times New Roman" w:hAnsi="Times New Roman" w:eastAsia="楷体_GB2312" w:cs="Times New Roman"/>
          <w:b/>
          <w:bCs/>
          <w:color w:val="auto"/>
          <w:kern w:val="2"/>
          <w:sz w:val="32"/>
          <w:szCs w:val="32"/>
        </w:rPr>
        <w:t>（三）评价结果应用情况。</w:t>
      </w:r>
      <w:r>
        <w:rPr>
          <w:rFonts w:hint="eastAsia" w:ascii="Times New Roman" w:hAnsi="Times New Roman" w:eastAsia="仿宋_GB2312" w:cs="Times New Roman"/>
          <w:color w:val="auto"/>
          <w:kern w:val="2"/>
          <w:sz w:val="32"/>
          <w:szCs w:val="32"/>
          <w:lang w:val="en-US" w:eastAsia="zh-CN" w:bidi="ar-SA"/>
        </w:rPr>
        <w:t>2</w:t>
      </w:r>
      <w:r>
        <w:rPr>
          <w:rFonts w:ascii="Times New Roman" w:hAnsi="Times New Roman" w:eastAsia="仿宋_GB2312" w:cs="Times New Roman"/>
          <w:color w:val="auto"/>
          <w:kern w:val="2"/>
          <w:sz w:val="32"/>
          <w:szCs w:val="32"/>
          <w:lang w:val="en-US" w:eastAsia="zh-CN" w:bidi="ar-SA"/>
        </w:rPr>
        <w:t>024年度绩效自评结果将作为2025年度预算安排和资金管理的重要依据。我</w:t>
      </w:r>
      <w:r>
        <w:rPr>
          <w:rFonts w:hint="eastAsia" w:ascii="Times New Roman" w:hAnsi="Times New Roman" w:eastAsia="仿宋_GB2312" w:cs="Times New Roman"/>
          <w:color w:val="auto"/>
          <w:kern w:val="2"/>
          <w:sz w:val="32"/>
          <w:szCs w:val="32"/>
          <w:lang w:val="en-US" w:eastAsia="zh-CN" w:bidi="ar-SA"/>
        </w:rPr>
        <w:t>校</w:t>
      </w:r>
      <w:r>
        <w:rPr>
          <w:rFonts w:ascii="Times New Roman" w:hAnsi="Times New Roman" w:eastAsia="仿宋_GB2312" w:cs="Times New Roman"/>
          <w:color w:val="auto"/>
          <w:kern w:val="2"/>
          <w:sz w:val="32"/>
          <w:szCs w:val="32"/>
          <w:lang w:val="en-US" w:eastAsia="zh-CN" w:bidi="ar-SA"/>
        </w:rPr>
        <w:t>将优化支出结构，强化项目预算与绩效目标的匹配度，完善内部控制制度，提升资金使用效益。同时，将加强绩效结果与预算安排的联动，推动绩效管理常态化、制度化。</w:t>
      </w:r>
    </w:p>
    <w:p w14:paraId="79E83430">
      <w:pPr>
        <w:pStyle w:val="7"/>
        <w:jc w:val="center"/>
        <w:rPr>
          <w:rFonts w:ascii="Times New Roman" w:hAnsi="Times New Roman" w:eastAsia="仿宋_GB2312" w:cs="Times New Roman"/>
          <w:color w:val="auto"/>
          <w:kern w:val="2"/>
          <w:sz w:val="32"/>
          <w:szCs w:val="32"/>
          <w:lang w:val="en-US" w:eastAsia="zh-CN" w:bidi="ar-SA"/>
        </w:rPr>
      </w:pPr>
    </w:p>
    <w:p w14:paraId="5192982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D2A3B9"/>
    <w:multiLevelType w:val="singleLevel"/>
    <w:tmpl w:val="64D2A3B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00000000"/>
    <w:rsid w:val="0A3353CD"/>
    <w:rsid w:val="36E6529F"/>
    <w:rsid w:val="489A18C8"/>
    <w:rsid w:val="506374B2"/>
    <w:rsid w:val="6AA53082"/>
    <w:rsid w:val="727342FE"/>
    <w:rsid w:val="757E5650"/>
    <w:rsid w:val="7BB26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footnote text"/>
    <w:basedOn w:val="1"/>
    <w:next w:val="3"/>
    <w:semiHidden/>
    <w:qFormat/>
    <w:uiPriority w:val="0"/>
    <w:pPr>
      <w:snapToGrid w:val="0"/>
      <w:jc w:val="left"/>
    </w:pPr>
    <w:rPr>
      <w:sz w:val="18"/>
      <w:szCs w:val="18"/>
    </w:rPr>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2681</Words>
  <Characters>2749</Characters>
  <Lines>0</Lines>
  <Paragraphs>0</Paragraphs>
  <TotalTime>0</TotalTime>
  <ScaleCrop>false</ScaleCrop>
  <LinksUpToDate>false</LinksUpToDate>
  <CharactersWithSpaces>2757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水墨年华</cp:lastModifiedBy>
  <dcterms:modified xsi:type="dcterms:W3CDTF">2025-09-17T09:27:34Z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BFEE822545EA4D5A8176C2874C4A8A29_13</vt:lpwstr>
  </property>
  <property fmtid="{D5CDD505-2E9C-101B-9397-08002B2CF9AE}" pid="4" name="KSOTemplateDocerSaveRecord">
    <vt:lpwstr>eyJoZGlkIjoiMGIwZDdmNzFhNzNhMTI3MzMzNGUyMzUxOWRiZTI1MTQiLCJ1c2VySWQiOiIxMjMwMDg0Njg3In0=</vt:lpwstr>
  </property>
</Properties>
</file>